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0" w:type="dxa"/>
        <w:jc w:val="center"/>
        <w:tblCellSpacing w:w="0" w:type="dxa"/>
        <w:tblCellMar>
          <w:left w:w="0" w:type="dxa"/>
          <w:right w:w="0" w:type="dxa"/>
        </w:tblCellMar>
        <w:tblLook w:val="04A0"/>
      </w:tblPr>
      <w:tblGrid>
        <w:gridCol w:w="10050"/>
      </w:tblGrid>
      <w:tr w:rsidR="004221A0" w:rsidRPr="004221A0" w:rsidTr="004221A0">
        <w:trPr>
          <w:tblCellSpacing w:w="0" w:type="dxa"/>
          <w:jc w:val="center"/>
        </w:trPr>
        <w:tc>
          <w:tcPr>
            <w:tcW w:w="9750" w:type="dxa"/>
            <w:hideMark/>
          </w:tcPr>
          <w:p w:rsidR="004221A0" w:rsidRPr="004221A0" w:rsidRDefault="004221A0" w:rsidP="004221A0">
            <w:pPr>
              <w:spacing w:before="100" w:beforeAutospacing="1" w:after="100" w:afterAutospacing="1" w:line="213" w:lineRule="atLeast"/>
              <w:outlineLvl w:val="1"/>
              <w:rPr>
                <w:rFonts w:ascii="Tahoma" w:eastAsia="Times New Roman" w:hAnsi="Tahoma" w:cs="Tahoma"/>
                <w:b/>
                <w:bCs/>
                <w:color w:val="F2A252"/>
                <w:kern w:val="36"/>
                <w:sz w:val="18"/>
                <w:szCs w:val="18"/>
                <w:lang w:eastAsia="tr-TR"/>
              </w:rPr>
            </w:pPr>
            <w:r w:rsidRPr="004221A0">
              <w:rPr>
                <w:rFonts w:ascii="Tahoma" w:eastAsia="Times New Roman" w:hAnsi="Tahoma" w:cs="Tahoma"/>
                <w:b/>
                <w:bCs/>
                <w:color w:val="F2A252"/>
                <w:kern w:val="36"/>
                <w:sz w:val="18"/>
                <w:szCs w:val="18"/>
                <w:lang w:eastAsia="tr-TR"/>
              </w:rPr>
              <w:t xml:space="preserve">Elektronik defter tutma ve elektronik fatura uygulamasına </w:t>
            </w:r>
            <w:proofErr w:type="gramStart"/>
            <w:r w:rsidRPr="004221A0">
              <w:rPr>
                <w:rFonts w:ascii="Tahoma" w:eastAsia="Times New Roman" w:hAnsi="Tahoma" w:cs="Tahoma"/>
                <w:b/>
                <w:bCs/>
                <w:color w:val="F2A252"/>
                <w:kern w:val="36"/>
                <w:sz w:val="18"/>
                <w:szCs w:val="18"/>
                <w:lang w:eastAsia="tr-TR"/>
              </w:rPr>
              <w:t>dahil</w:t>
            </w:r>
            <w:proofErr w:type="gramEnd"/>
            <w:r w:rsidRPr="004221A0">
              <w:rPr>
                <w:rFonts w:ascii="Tahoma" w:eastAsia="Times New Roman" w:hAnsi="Tahoma" w:cs="Tahoma"/>
                <w:b/>
                <w:bCs/>
                <w:color w:val="F2A252"/>
                <w:kern w:val="36"/>
                <w:sz w:val="18"/>
                <w:szCs w:val="18"/>
                <w:lang w:eastAsia="tr-TR"/>
              </w:rPr>
              <w:t xml:space="preserve"> olma zorunluluğu getirilen mükelleflere ilişkin açıklama</w:t>
            </w:r>
            <w:r w:rsidRPr="004221A0">
              <w:rPr>
                <w:rFonts w:ascii="Tahoma" w:eastAsia="Times New Roman" w:hAnsi="Tahoma" w:cs="Tahoma"/>
                <w:b/>
                <w:bCs/>
                <w:color w:val="F2A252"/>
                <w:kern w:val="36"/>
                <w:sz w:val="18"/>
                <w:szCs w:val="18"/>
                <w:lang w:eastAsia="tr-TR"/>
              </w:rPr>
              <w:br/>
            </w:r>
          </w:p>
        </w:tc>
      </w:tr>
    </w:tbl>
    <w:p w:rsidR="004221A0" w:rsidRPr="004221A0" w:rsidRDefault="004221A0" w:rsidP="004221A0">
      <w:pPr>
        <w:spacing w:after="0" w:line="213" w:lineRule="atLeast"/>
        <w:jc w:val="center"/>
        <w:rPr>
          <w:rFonts w:ascii="Tahoma" w:eastAsia="Times New Roman" w:hAnsi="Tahoma" w:cs="Tahoma"/>
          <w:vanish/>
          <w:color w:val="6F6F6F"/>
          <w:sz w:val="15"/>
          <w:szCs w:val="15"/>
          <w:lang w:eastAsia="tr-TR"/>
        </w:rPr>
      </w:pPr>
    </w:p>
    <w:tbl>
      <w:tblPr>
        <w:tblW w:w="10050" w:type="dxa"/>
        <w:jc w:val="center"/>
        <w:tblCellSpacing w:w="0" w:type="dxa"/>
        <w:tblCellMar>
          <w:left w:w="125" w:type="dxa"/>
          <w:right w:w="0" w:type="dxa"/>
        </w:tblCellMar>
        <w:tblLook w:val="04A0"/>
      </w:tblPr>
      <w:tblGrid>
        <w:gridCol w:w="1175"/>
        <w:gridCol w:w="8875"/>
      </w:tblGrid>
      <w:tr w:rsidR="004221A0" w:rsidRPr="004221A0" w:rsidTr="004221A0">
        <w:trPr>
          <w:tblCellSpacing w:w="0" w:type="dxa"/>
          <w:jc w:val="center"/>
        </w:trPr>
        <w:tc>
          <w:tcPr>
            <w:tcW w:w="1140" w:type="dxa"/>
            <w:hideMark/>
          </w:tcPr>
          <w:p w:rsidR="004221A0" w:rsidRPr="004221A0" w:rsidRDefault="004221A0" w:rsidP="004221A0">
            <w:pPr>
              <w:spacing w:after="0" w:line="213" w:lineRule="atLeast"/>
              <w:rPr>
                <w:rFonts w:ascii="Tahoma" w:eastAsia="Times New Roman" w:hAnsi="Tahoma" w:cs="Tahoma"/>
                <w:color w:val="6F6F6F"/>
                <w:sz w:val="15"/>
                <w:szCs w:val="15"/>
                <w:lang w:eastAsia="tr-TR"/>
              </w:rPr>
            </w:pPr>
            <w:r w:rsidRPr="004221A0">
              <w:rPr>
                <w:rFonts w:ascii="Tahoma" w:eastAsia="Times New Roman" w:hAnsi="Tahoma" w:cs="Tahoma"/>
                <w:b/>
                <w:bCs/>
                <w:color w:val="6F6F6F"/>
                <w:sz w:val="15"/>
                <w:szCs w:val="15"/>
                <w:lang w:eastAsia="tr-TR"/>
              </w:rPr>
              <w:t>Tarih</w:t>
            </w:r>
          </w:p>
        </w:tc>
        <w:tc>
          <w:tcPr>
            <w:tcW w:w="8610" w:type="dxa"/>
            <w:hideMark/>
          </w:tcPr>
          <w:p w:rsidR="004221A0" w:rsidRPr="004221A0" w:rsidRDefault="004221A0" w:rsidP="004221A0">
            <w:pPr>
              <w:spacing w:after="0" w:line="213" w:lineRule="atLeast"/>
              <w:rPr>
                <w:rFonts w:ascii="Tahoma" w:eastAsia="Times New Roman" w:hAnsi="Tahoma" w:cs="Tahoma"/>
                <w:color w:val="6F6F6F"/>
                <w:sz w:val="15"/>
                <w:szCs w:val="15"/>
                <w:lang w:eastAsia="tr-TR"/>
              </w:rPr>
            </w:pPr>
            <w:proofErr w:type="gramStart"/>
            <w:r w:rsidRPr="004221A0">
              <w:rPr>
                <w:rFonts w:ascii="Tahoma" w:eastAsia="Times New Roman" w:hAnsi="Tahoma" w:cs="Tahoma"/>
                <w:color w:val="6F6F6F"/>
                <w:sz w:val="15"/>
                <w:szCs w:val="15"/>
                <w:lang w:eastAsia="tr-TR"/>
              </w:rPr>
              <w:t>08/02/2013</w:t>
            </w:r>
            <w:proofErr w:type="gramEnd"/>
          </w:p>
        </w:tc>
      </w:tr>
      <w:tr w:rsidR="004221A0" w:rsidRPr="004221A0" w:rsidTr="004221A0">
        <w:trPr>
          <w:tblCellSpacing w:w="0" w:type="dxa"/>
          <w:jc w:val="center"/>
        </w:trPr>
        <w:tc>
          <w:tcPr>
            <w:tcW w:w="1140" w:type="dxa"/>
            <w:hideMark/>
          </w:tcPr>
          <w:p w:rsidR="004221A0" w:rsidRPr="004221A0" w:rsidRDefault="004221A0" w:rsidP="004221A0">
            <w:pPr>
              <w:spacing w:after="0" w:line="213" w:lineRule="atLeast"/>
              <w:rPr>
                <w:rFonts w:ascii="Tahoma" w:eastAsia="Times New Roman" w:hAnsi="Tahoma" w:cs="Tahoma"/>
                <w:color w:val="6F6F6F"/>
                <w:sz w:val="15"/>
                <w:szCs w:val="15"/>
                <w:lang w:eastAsia="tr-TR"/>
              </w:rPr>
            </w:pPr>
            <w:r w:rsidRPr="004221A0">
              <w:rPr>
                <w:rFonts w:ascii="Tahoma" w:eastAsia="Times New Roman" w:hAnsi="Tahoma" w:cs="Tahoma"/>
                <w:b/>
                <w:bCs/>
                <w:color w:val="6F6F6F"/>
                <w:sz w:val="15"/>
                <w:szCs w:val="15"/>
                <w:lang w:eastAsia="tr-TR"/>
              </w:rPr>
              <w:t>Sayı</w:t>
            </w:r>
          </w:p>
        </w:tc>
        <w:tc>
          <w:tcPr>
            <w:tcW w:w="8610" w:type="dxa"/>
            <w:hideMark/>
          </w:tcPr>
          <w:p w:rsidR="004221A0" w:rsidRPr="004221A0" w:rsidRDefault="004221A0" w:rsidP="004221A0">
            <w:pPr>
              <w:spacing w:after="0" w:line="213" w:lineRule="atLeast"/>
              <w:rPr>
                <w:rFonts w:ascii="Tahoma" w:eastAsia="Times New Roman" w:hAnsi="Tahoma" w:cs="Tahoma"/>
                <w:color w:val="6F6F6F"/>
                <w:sz w:val="15"/>
                <w:szCs w:val="15"/>
                <w:lang w:eastAsia="tr-TR"/>
              </w:rPr>
            </w:pPr>
            <w:r w:rsidRPr="004221A0">
              <w:rPr>
                <w:rFonts w:ascii="Tahoma" w:eastAsia="Times New Roman" w:hAnsi="Tahoma" w:cs="Tahoma"/>
                <w:color w:val="6F6F6F"/>
                <w:sz w:val="15"/>
                <w:szCs w:val="15"/>
                <w:lang w:eastAsia="tr-TR"/>
              </w:rPr>
              <w:t xml:space="preserve">VUK.58 / </w:t>
            </w:r>
            <w:proofErr w:type="gramStart"/>
            <w:r w:rsidRPr="004221A0">
              <w:rPr>
                <w:rFonts w:ascii="Tahoma" w:eastAsia="Times New Roman" w:hAnsi="Tahoma" w:cs="Tahoma"/>
                <w:color w:val="6F6F6F"/>
                <w:sz w:val="15"/>
                <w:szCs w:val="15"/>
                <w:lang w:eastAsia="tr-TR"/>
              </w:rPr>
              <w:t>2013.03</w:t>
            </w:r>
            <w:proofErr w:type="gramEnd"/>
          </w:p>
        </w:tc>
      </w:tr>
      <w:tr w:rsidR="004221A0" w:rsidRPr="004221A0" w:rsidTr="004221A0">
        <w:trPr>
          <w:tblCellSpacing w:w="0" w:type="dxa"/>
          <w:jc w:val="center"/>
        </w:trPr>
        <w:tc>
          <w:tcPr>
            <w:tcW w:w="1140" w:type="dxa"/>
            <w:hideMark/>
          </w:tcPr>
          <w:p w:rsidR="004221A0" w:rsidRPr="004221A0" w:rsidRDefault="004221A0" w:rsidP="004221A0">
            <w:pPr>
              <w:spacing w:after="0" w:line="213" w:lineRule="atLeast"/>
              <w:rPr>
                <w:rFonts w:ascii="Tahoma" w:eastAsia="Times New Roman" w:hAnsi="Tahoma" w:cs="Tahoma"/>
                <w:color w:val="6F6F6F"/>
                <w:sz w:val="15"/>
                <w:szCs w:val="15"/>
                <w:lang w:eastAsia="tr-TR"/>
              </w:rPr>
            </w:pPr>
            <w:r w:rsidRPr="004221A0">
              <w:rPr>
                <w:rFonts w:ascii="Tahoma" w:eastAsia="Times New Roman" w:hAnsi="Tahoma" w:cs="Tahoma"/>
                <w:b/>
                <w:bCs/>
                <w:color w:val="6F6F6F"/>
                <w:sz w:val="15"/>
                <w:szCs w:val="15"/>
                <w:lang w:eastAsia="tr-TR"/>
              </w:rPr>
              <w:t>Kapsam</w:t>
            </w:r>
          </w:p>
        </w:tc>
        <w:tc>
          <w:tcPr>
            <w:tcW w:w="8610" w:type="dxa"/>
            <w:hideMark/>
          </w:tcPr>
          <w:p w:rsidR="004221A0" w:rsidRPr="004221A0" w:rsidRDefault="004221A0" w:rsidP="004221A0">
            <w:pPr>
              <w:spacing w:after="0" w:line="213" w:lineRule="atLeast"/>
              <w:rPr>
                <w:rFonts w:ascii="Tahoma" w:eastAsia="Times New Roman" w:hAnsi="Tahoma" w:cs="Tahoma"/>
                <w:color w:val="6F6F6F"/>
                <w:sz w:val="15"/>
                <w:szCs w:val="15"/>
                <w:lang w:eastAsia="tr-TR"/>
              </w:rPr>
            </w:pPr>
            <w:r w:rsidRPr="004221A0">
              <w:rPr>
                <w:rFonts w:ascii="Tahoma" w:eastAsia="Times New Roman" w:hAnsi="Tahoma" w:cs="Tahoma"/>
                <w:color w:val="6F6F6F"/>
                <w:sz w:val="15"/>
                <w:szCs w:val="15"/>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pt;height:.65pt"/>
              </w:pict>
            </w:r>
          </w:p>
        </w:tc>
      </w:tr>
      <w:tr w:rsidR="004221A0" w:rsidRPr="004221A0" w:rsidTr="004221A0">
        <w:trPr>
          <w:tblCellSpacing w:w="0" w:type="dxa"/>
          <w:jc w:val="center"/>
        </w:trPr>
        <w:tc>
          <w:tcPr>
            <w:tcW w:w="9450" w:type="dxa"/>
            <w:gridSpan w:val="2"/>
            <w:hideMark/>
          </w:tcPr>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b/>
                <w:bCs/>
                <w:color w:val="000000"/>
                <w:sz w:val="15"/>
                <w:lang w:eastAsia="tr-TR"/>
              </w:rPr>
              <w:t>T.C.</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b/>
                <w:bCs/>
                <w:color w:val="000000"/>
                <w:sz w:val="15"/>
                <w:lang w:eastAsia="tr-TR"/>
              </w:rPr>
              <w:t>MALİYE BAKANLIĞI</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b/>
                <w:bCs/>
                <w:color w:val="000000"/>
                <w:sz w:val="15"/>
                <w:lang w:eastAsia="tr-TR"/>
              </w:rPr>
              <w:t>Gelir İdaresi Başkanlığı</w:t>
            </w:r>
          </w:p>
          <w:p w:rsidR="004221A0" w:rsidRPr="004221A0" w:rsidRDefault="004221A0" w:rsidP="004221A0">
            <w:pPr>
              <w:spacing w:before="100" w:beforeAutospacing="1" w:after="100" w:afterAutospacing="1" w:line="213" w:lineRule="atLeast"/>
              <w:jc w:val="center"/>
              <w:rPr>
                <w:rFonts w:ascii="Tahoma" w:eastAsia="Times New Roman" w:hAnsi="Tahoma" w:cs="Tahoma"/>
                <w:color w:val="000000"/>
                <w:sz w:val="15"/>
                <w:szCs w:val="15"/>
                <w:lang w:eastAsia="tr-TR"/>
              </w:rPr>
            </w:pPr>
            <w:r w:rsidRPr="004221A0">
              <w:rPr>
                <w:rFonts w:ascii="Tahoma" w:eastAsia="Times New Roman" w:hAnsi="Tahoma" w:cs="Tahoma"/>
                <w:b/>
                <w:bCs/>
                <w:color w:val="000000"/>
                <w:sz w:val="15"/>
                <w:lang w:eastAsia="tr-TR"/>
              </w:rPr>
              <w:t>VERGİ USUL KANUNU SİRKÜLERİ / 58</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b/>
                <w:bCs/>
                <w:color w:val="000000"/>
                <w:sz w:val="15"/>
                <w:lang w:eastAsia="tr-TR"/>
              </w:rPr>
              <w:t>Konusu:</w:t>
            </w:r>
            <w:r w:rsidRPr="004221A0">
              <w:rPr>
                <w:rFonts w:ascii="Tahoma" w:eastAsia="Times New Roman" w:hAnsi="Tahoma" w:cs="Tahoma"/>
                <w:color w:val="000000"/>
                <w:sz w:val="15"/>
                <w:szCs w:val="15"/>
                <w:lang w:eastAsia="tr-TR"/>
              </w:rPr>
              <w:t xml:space="preserve"> Elektronik defter tutma ve elektronik fatura uygulamasına </w:t>
            </w:r>
            <w:proofErr w:type="gramStart"/>
            <w:r w:rsidRPr="004221A0">
              <w:rPr>
                <w:rFonts w:ascii="Tahoma" w:eastAsia="Times New Roman" w:hAnsi="Tahoma" w:cs="Tahoma"/>
                <w:color w:val="000000"/>
                <w:sz w:val="15"/>
                <w:szCs w:val="15"/>
                <w:lang w:eastAsia="tr-TR"/>
              </w:rPr>
              <w:t>dahil</w:t>
            </w:r>
            <w:proofErr w:type="gramEnd"/>
            <w:r w:rsidRPr="004221A0">
              <w:rPr>
                <w:rFonts w:ascii="Tahoma" w:eastAsia="Times New Roman" w:hAnsi="Tahoma" w:cs="Tahoma"/>
                <w:color w:val="000000"/>
                <w:sz w:val="15"/>
                <w:szCs w:val="15"/>
                <w:lang w:eastAsia="tr-TR"/>
              </w:rPr>
              <w:t xml:space="preserve"> olma zorunluluğu getirilen mükelleflere ilişkin açıklama</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b/>
                <w:bCs/>
                <w:color w:val="000000"/>
                <w:sz w:val="15"/>
                <w:lang w:eastAsia="tr-TR"/>
              </w:rPr>
              <w:t xml:space="preserve">Tarihi: </w:t>
            </w:r>
            <w:r w:rsidRPr="004221A0">
              <w:rPr>
                <w:rFonts w:ascii="Tahoma" w:eastAsia="Times New Roman" w:hAnsi="Tahoma" w:cs="Tahoma"/>
                <w:color w:val="000000"/>
                <w:sz w:val="15"/>
                <w:szCs w:val="15"/>
                <w:lang w:eastAsia="tr-TR"/>
              </w:rPr>
              <w:t>08.02.2013</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b/>
                <w:bCs/>
                <w:color w:val="000000"/>
                <w:sz w:val="15"/>
                <w:lang w:eastAsia="tr-TR"/>
              </w:rPr>
              <w:t xml:space="preserve">Sayısı: </w:t>
            </w:r>
            <w:r w:rsidRPr="004221A0">
              <w:rPr>
                <w:rFonts w:ascii="Tahoma" w:eastAsia="Times New Roman" w:hAnsi="Tahoma" w:cs="Tahoma"/>
                <w:color w:val="000000"/>
                <w:sz w:val="15"/>
                <w:szCs w:val="15"/>
                <w:lang w:eastAsia="tr-TR"/>
              </w:rPr>
              <w:t xml:space="preserve">VUK.58 / </w:t>
            </w:r>
            <w:proofErr w:type="gramStart"/>
            <w:r w:rsidRPr="004221A0">
              <w:rPr>
                <w:rFonts w:ascii="Tahoma" w:eastAsia="Times New Roman" w:hAnsi="Tahoma" w:cs="Tahoma"/>
                <w:color w:val="000000"/>
                <w:sz w:val="15"/>
                <w:szCs w:val="15"/>
                <w:lang w:eastAsia="tr-TR"/>
              </w:rPr>
              <w:t>2013.03</w:t>
            </w:r>
            <w:proofErr w:type="gramEnd"/>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b/>
                <w:bCs/>
                <w:color w:val="000000"/>
                <w:sz w:val="15"/>
                <w:lang w:eastAsia="tr-TR"/>
              </w:rPr>
              <w:t>İlgili olduğu maddeler:</w:t>
            </w:r>
            <w:r w:rsidRPr="004221A0">
              <w:rPr>
                <w:rFonts w:ascii="Tahoma" w:eastAsia="Times New Roman" w:hAnsi="Tahoma" w:cs="Tahoma"/>
                <w:color w:val="000000"/>
                <w:sz w:val="15"/>
                <w:szCs w:val="15"/>
                <w:lang w:eastAsia="tr-TR"/>
              </w:rPr>
              <w:t xml:space="preserve"> 213 Sayılı Vergi Usul Kanunu Mükerrer 242 ve Mükerrer 257 </w:t>
            </w:r>
            <w:proofErr w:type="spellStart"/>
            <w:r w:rsidRPr="004221A0">
              <w:rPr>
                <w:rFonts w:ascii="Tahoma" w:eastAsia="Times New Roman" w:hAnsi="Tahoma" w:cs="Tahoma"/>
                <w:color w:val="000000"/>
                <w:sz w:val="15"/>
                <w:szCs w:val="15"/>
                <w:lang w:eastAsia="tr-TR"/>
              </w:rPr>
              <w:t>nci</w:t>
            </w:r>
            <w:proofErr w:type="spellEnd"/>
            <w:r w:rsidRPr="004221A0">
              <w:rPr>
                <w:rFonts w:ascii="Tahoma" w:eastAsia="Times New Roman" w:hAnsi="Tahoma" w:cs="Tahoma"/>
                <w:color w:val="000000"/>
                <w:sz w:val="15"/>
                <w:szCs w:val="15"/>
                <w:lang w:eastAsia="tr-TR"/>
              </w:rPr>
              <w:t xml:space="preserve"> maddesi.</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b/>
                <w:bCs/>
                <w:color w:val="000000"/>
                <w:sz w:val="15"/>
                <w:lang w:eastAsia="tr-TR"/>
              </w:rPr>
              <w:t>1. Giriş</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color w:val="000000"/>
                <w:sz w:val="15"/>
                <w:szCs w:val="15"/>
                <w:lang w:eastAsia="tr-TR"/>
              </w:rPr>
              <w:t xml:space="preserve">421 Sıra Numaralı Vergi Usul Kanunu Genel Tebliği ile elektronik defter tutma ve elektronik fatura uygulamasına </w:t>
            </w:r>
            <w:proofErr w:type="gramStart"/>
            <w:r w:rsidRPr="004221A0">
              <w:rPr>
                <w:rFonts w:ascii="Tahoma" w:eastAsia="Times New Roman" w:hAnsi="Tahoma" w:cs="Tahoma"/>
                <w:color w:val="000000"/>
                <w:sz w:val="15"/>
                <w:szCs w:val="15"/>
                <w:lang w:eastAsia="tr-TR"/>
              </w:rPr>
              <w:t>dahil</w:t>
            </w:r>
            <w:proofErr w:type="gramEnd"/>
            <w:r w:rsidRPr="004221A0">
              <w:rPr>
                <w:rFonts w:ascii="Tahoma" w:eastAsia="Times New Roman" w:hAnsi="Tahoma" w:cs="Tahoma"/>
                <w:color w:val="000000"/>
                <w:sz w:val="15"/>
                <w:szCs w:val="15"/>
                <w:lang w:eastAsia="tr-TR"/>
              </w:rPr>
              <w:t xml:space="preserve"> olma zorunluluğu getirilen mükelleflerin durumları hakkında açıklamalar bu sirkülerin konusunu teşkil etmektedir. </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b/>
                <w:bCs/>
                <w:color w:val="000000"/>
                <w:sz w:val="15"/>
                <w:lang w:eastAsia="tr-TR"/>
              </w:rPr>
              <w:t>2. 421 Sıra Numaralı Vergi Usul Kanunu Genel Tebliğinin 3.1.1 bölümünün "a" ve "b" maddelerinde yapılan düzenlemelere ilişkin açıklamalar</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color w:val="000000"/>
                <w:sz w:val="15"/>
                <w:szCs w:val="15"/>
                <w:lang w:eastAsia="tr-TR"/>
              </w:rPr>
              <w:t xml:space="preserve">Tebliğin yayımlandığı tarih itibariyle 5015 sayılı Petrol Piyasası Kanunu kapsamında madeni yağ lisansına sahip olanların ve 4760 sayılı Özel Tüketim Vergisi Kanununa ekli (III) sayılı listedeki malları imal, inşa veya ithal edenlerin zorunluluk kapsamına girdiği "a" ve "b" maddelerinde açık şekilde ifade edilmiştir. </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color w:val="000000"/>
                <w:sz w:val="15"/>
                <w:szCs w:val="15"/>
                <w:lang w:eastAsia="tr-TR"/>
              </w:rPr>
              <w:t>Tebliğin yayımlandığı tarih itibariyle 5015 sayılı Petrol Piyasası Kanunu kapsamında madeni yağ lisansına sahip olan ve 4760 sayılı Özel Tüketim Vergisi Kanununa ekli (III) sayılı listedeki malları imal, inşa veya ithal eden mükellef listesi www.</w:t>
            </w:r>
            <w:proofErr w:type="spellStart"/>
            <w:r w:rsidRPr="004221A0">
              <w:rPr>
                <w:rFonts w:ascii="Tahoma" w:eastAsia="Times New Roman" w:hAnsi="Tahoma" w:cs="Tahoma"/>
                <w:color w:val="000000"/>
                <w:sz w:val="15"/>
                <w:szCs w:val="15"/>
                <w:lang w:eastAsia="tr-TR"/>
              </w:rPr>
              <w:t>gib</w:t>
            </w:r>
            <w:proofErr w:type="spellEnd"/>
            <w:r w:rsidRPr="004221A0">
              <w:rPr>
                <w:rFonts w:ascii="Tahoma" w:eastAsia="Times New Roman" w:hAnsi="Tahoma" w:cs="Tahoma"/>
                <w:color w:val="000000"/>
                <w:sz w:val="15"/>
                <w:szCs w:val="15"/>
                <w:lang w:eastAsia="tr-TR"/>
              </w:rPr>
              <w:t>.gov.tr ve www.</w:t>
            </w:r>
            <w:proofErr w:type="spellStart"/>
            <w:r w:rsidRPr="004221A0">
              <w:rPr>
                <w:rFonts w:ascii="Tahoma" w:eastAsia="Times New Roman" w:hAnsi="Tahoma" w:cs="Tahoma"/>
                <w:color w:val="000000"/>
                <w:sz w:val="15"/>
                <w:szCs w:val="15"/>
                <w:lang w:eastAsia="tr-TR"/>
              </w:rPr>
              <w:t>efatura</w:t>
            </w:r>
            <w:proofErr w:type="spellEnd"/>
            <w:r w:rsidRPr="004221A0">
              <w:rPr>
                <w:rFonts w:ascii="Tahoma" w:eastAsia="Times New Roman" w:hAnsi="Tahoma" w:cs="Tahoma"/>
                <w:color w:val="000000"/>
                <w:sz w:val="15"/>
                <w:szCs w:val="15"/>
                <w:lang w:eastAsia="tr-TR"/>
              </w:rPr>
              <w:t>.gov.tr internet adreslerinde yayımlanmaktadır.</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color w:val="000000"/>
                <w:sz w:val="15"/>
                <w:szCs w:val="15"/>
                <w:lang w:eastAsia="tr-TR"/>
              </w:rPr>
              <w:t xml:space="preserve">Söz konusu listelerde yer alan mükelleflerden 2011 yılında mal alan ve Tebliğde belirtilen brüt satış </w:t>
            </w:r>
            <w:proofErr w:type="gramStart"/>
            <w:r w:rsidRPr="004221A0">
              <w:rPr>
                <w:rFonts w:ascii="Tahoma" w:eastAsia="Times New Roman" w:hAnsi="Tahoma" w:cs="Tahoma"/>
                <w:color w:val="000000"/>
                <w:sz w:val="15"/>
                <w:szCs w:val="15"/>
                <w:lang w:eastAsia="tr-TR"/>
              </w:rPr>
              <w:t>hasılatına</w:t>
            </w:r>
            <w:proofErr w:type="gramEnd"/>
            <w:r w:rsidRPr="004221A0">
              <w:rPr>
                <w:rFonts w:ascii="Tahoma" w:eastAsia="Times New Roman" w:hAnsi="Tahoma" w:cs="Tahoma"/>
                <w:color w:val="000000"/>
                <w:sz w:val="15"/>
                <w:szCs w:val="15"/>
                <w:lang w:eastAsia="tr-TR"/>
              </w:rPr>
              <w:t xml:space="preserve"> sahip olan mükellefler zorunluluk kapsamındadır.</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color w:val="000000"/>
                <w:sz w:val="15"/>
                <w:szCs w:val="15"/>
                <w:lang w:eastAsia="tr-TR"/>
              </w:rPr>
              <w:t xml:space="preserve">5015 sayılı Petrol Piyasası Kanunu kapsamında madeni yağ lisansına sahip olan mükelleflerden 2011 takvim yılı içinde mal alışı yapanlar, satın aldıkları malın türüne, fiyatına, miktarına veya herhangi bir özelliğine bakılmaksızın, 2011 yılı gelir tablolarındaki brüt satış hasılatı rakamları 25 Milyon TL veya daha yüksek ise elektronik fatura ve elektronik defter uygulamalarına </w:t>
            </w:r>
            <w:proofErr w:type="gramStart"/>
            <w:r w:rsidRPr="004221A0">
              <w:rPr>
                <w:rFonts w:ascii="Tahoma" w:eastAsia="Times New Roman" w:hAnsi="Tahoma" w:cs="Tahoma"/>
                <w:color w:val="000000"/>
                <w:sz w:val="15"/>
                <w:szCs w:val="15"/>
                <w:lang w:eastAsia="tr-TR"/>
              </w:rPr>
              <w:t>dahil</w:t>
            </w:r>
            <w:proofErr w:type="gramEnd"/>
            <w:r w:rsidRPr="004221A0">
              <w:rPr>
                <w:rFonts w:ascii="Tahoma" w:eastAsia="Times New Roman" w:hAnsi="Tahoma" w:cs="Tahoma"/>
                <w:color w:val="000000"/>
                <w:sz w:val="15"/>
                <w:szCs w:val="15"/>
                <w:lang w:eastAsia="tr-TR"/>
              </w:rPr>
              <w:t xml:space="preserve"> olacaklardır. Lisans sahibi mükelleflerden alış yapanların, madeni yağ sektöründe veya başka bir sektörde faaliyet göstermesi zorunluluk karşısındaki durumlarını etkilememektedir.</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color w:val="000000"/>
                <w:sz w:val="15"/>
                <w:szCs w:val="15"/>
                <w:lang w:eastAsia="tr-TR"/>
              </w:rPr>
              <w:t xml:space="preserve">4760 sayılı Özel Tüketim Vergisi Kanununa ekli (III) sayılı listedeki malları imal, inşa veya ithal eden mükelleflerden 2011 takvim yılı içinde mal alışı yapanlar, satın aldıkları malın türüne, fiyatına, miktarına veya herhangi bir özelliğine bakılmaksızın 2011 yılı gelir tablolarındaki brüt satış hasılatı rakamları 10 Milyon TL veya daha yüksek ise elektronik fatura ve elektronik defter uygulamalarına </w:t>
            </w:r>
            <w:proofErr w:type="gramStart"/>
            <w:r w:rsidRPr="004221A0">
              <w:rPr>
                <w:rFonts w:ascii="Tahoma" w:eastAsia="Times New Roman" w:hAnsi="Tahoma" w:cs="Tahoma"/>
                <w:color w:val="000000"/>
                <w:sz w:val="15"/>
                <w:szCs w:val="15"/>
                <w:lang w:eastAsia="tr-TR"/>
              </w:rPr>
              <w:t>dahil</w:t>
            </w:r>
            <w:proofErr w:type="gramEnd"/>
            <w:r w:rsidRPr="004221A0">
              <w:rPr>
                <w:rFonts w:ascii="Tahoma" w:eastAsia="Times New Roman" w:hAnsi="Tahoma" w:cs="Tahoma"/>
                <w:color w:val="000000"/>
                <w:sz w:val="15"/>
                <w:szCs w:val="15"/>
                <w:lang w:eastAsia="tr-TR"/>
              </w:rPr>
              <w:t xml:space="preserve"> olacaklardır. Bu kapsamda alış yapanların tütün, alkol, kolalı gazozlar sektörlerinde veya başka sektörlerde faaliyet göstermesi zorunluluk karşısındaki durumlarını etkilememektedir.</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color w:val="000000"/>
                <w:sz w:val="15"/>
                <w:szCs w:val="15"/>
                <w:lang w:eastAsia="tr-TR"/>
              </w:rPr>
              <w:t xml:space="preserve">Madeni yağ lisansına sahip olan ve 4760 sayılı Özel Tüketim Vergisi Kanununa ekli (III) sayılı listedeki malları imal, inşa veya ithal eden mükelleflerden sadece mal alışları bulunan mükellefler Genel Tebliğ kapsamında elektronik fatura ve elektronik defter uygulamalarına </w:t>
            </w:r>
            <w:proofErr w:type="gramStart"/>
            <w:r w:rsidRPr="004221A0">
              <w:rPr>
                <w:rFonts w:ascii="Tahoma" w:eastAsia="Times New Roman" w:hAnsi="Tahoma" w:cs="Tahoma"/>
                <w:color w:val="000000"/>
                <w:sz w:val="15"/>
                <w:szCs w:val="15"/>
                <w:lang w:eastAsia="tr-TR"/>
              </w:rPr>
              <w:t>dahil</w:t>
            </w:r>
            <w:proofErr w:type="gramEnd"/>
            <w:r w:rsidRPr="004221A0">
              <w:rPr>
                <w:rFonts w:ascii="Tahoma" w:eastAsia="Times New Roman" w:hAnsi="Tahoma" w:cs="Tahoma"/>
                <w:color w:val="000000"/>
                <w:sz w:val="15"/>
                <w:szCs w:val="15"/>
                <w:lang w:eastAsia="tr-TR"/>
              </w:rPr>
              <w:t xml:space="preserve"> olacaklardır. Hizmet alımları kapsam </w:t>
            </w:r>
            <w:proofErr w:type="gramStart"/>
            <w:r w:rsidRPr="004221A0">
              <w:rPr>
                <w:rFonts w:ascii="Tahoma" w:eastAsia="Times New Roman" w:hAnsi="Tahoma" w:cs="Tahoma"/>
                <w:color w:val="000000"/>
                <w:sz w:val="15"/>
                <w:szCs w:val="15"/>
                <w:lang w:eastAsia="tr-TR"/>
              </w:rPr>
              <w:t>dahilinde</w:t>
            </w:r>
            <w:proofErr w:type="gramEnd"/>
            <w:r w:rsidRPr="004221A0">
              <w:rPr>
                <w:rFonts w:ascii="Tahoma" w:eastAsia="Times New Roman" w:hAnsi="Tahoma" w:cs="Tahoma"/>
                <w:color w:val="000000"/>
                <w:sz w:val="15"/>
                <w:szCs w:val="15"/>
                <w:lang w:eastAsia="tr-TR"/>
              </w:rPr>
              <w:t xml:space="preserve"> değildir.</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color w:val="000000"/>
                <w:sz w:val="15"/>
                <w:szCs w:val="15"/>
                <w:lang w:eastAsia="tr-TR"/>
              </w:rPr>
              <w:t xml:space="preserve">Mükellefler brüt satış </w:t>
            </w:r>
            <w:proofErr w:type="gramStart"/>
            <w:r w:rsidRPr="004221A0">
              <w:rPr>
                <w:rFonts w:ascii="Tahoma" w:eastAsia="Times New Roman" w:hAnsi="Tahoma" w:cs="Tahoma"/>
                <w:color w:val="000000"/>
                <w:sz w:val="15"/>
                <w:szCs w:val="15"/>
                <w:lang w:eastAsia="tr-TR"/>
              </w:rPr>
              <w:t>hasılatlarının</w:t>
            </w:r>
            <w:proofErr w:type="gramEnd"/>
            <w:r w:rsidRPr="004221A0">
              <w:rPr>
                <w:rFonts w:ascii="Tahoma" w:eastAsia="Times New Roman" w:hAnsi="Tahoma" w:cs="Tahoma"/>
                <w:color w:val="000000"/>
                <w:sz w:val="15"/>
                <w:szCs w:val="15"/>
                <w:lang w:eastAsia="tr-TR"/>
              </w:rPr>
              <w:t xml:space="preserve"> hesaplanmasında, sadece madeni yağ, tütün, alkol veya kolalı gazoz satışları değil gelir tablosunda yer alan bütün satışları gösteren brüt satış hasılatına göre zorunluluk kapsamına alınacaktır.</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color w:val="000000"/>
                <w:sz w:val="15"/>
                <w:szCs w:val="15"/>
                <w:lang w:eastAsia="tr-TR"/>
              </w:rPr>
              <w:t xml:space="preserve">Özel hesap dönemine sahip mükellefler brüt satış </w:t>
            </w:r>
            <w:proofErr w:type="gramStart"/>
            <w:r w:rsidRPr="004221A0">
              <w:rPr>
                <w:rFonts w:ascii="Tahoma" w:eastAsia="Times New Roman" w:hAnsi="Tahoma" w:cs="Tahoma"/>
                <w:color w:val="000000"/>
                <w:sz w:val="15"/>
                <w:szCs w:val="15"/>
                <w:lang w:eastAsia="tr-TR"/>
              </w:rPr>
              <w:t>hasılatlarının</w:t>
            </w:r>
            <w:proofErr w:type="gramEnd"/>
            <w:r w:rsidRPr="004221A0">
              <w:rPr>
                <w:rFonts w:ascii="Tahoma" w:eastAsia="Times New Roman" w:hAnsi="Tahoma" w:cs="Tahoma"/>
                <w:color w:val="000000"/>
                <w:sz w:val="15"/>
                <w:szCs w:val="15"/>
                <w:lang w:eastAsia="tr-TR"/>
              </w:rPr>
              <w:t xml:space="preserve"> hesaplanmasında 2011 takvim yılında sona eren özel hesap dönemi brüt satış hasılatını </w:t>
            </w:r>
            <w:r w:rsidRPr="004221A0">
              <w:rPr>
                <w:rFonts w:ascii="Tahoma" w:eastAsia="Times New Roman" w:hAnsi="Tahoma" w:cs="Tahoma"/>
                <w:color w:val="000000"/>
                <w:sz w:val="15"/>
                <w:szCs w:val="15"/>
                <w:lang w:eastAsia="tr-TR"/>
              </w:rPr>
              <w:lastRenderedPageBreak/>
              <w:t>dikkate alacaklardır.</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b/>
                <w:bCs/>
                <w:color w:val="000000"/>
                <w:sz w:val="15"/>
                <w:lang w:eastAsia="tr-TR"/>
              </w:rPr>
              <w:t>3. Zorunlu Uygulamaya Geçiş Süreci Hakkında Açıklamalar</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color w:val="000000"/>
                <w:sz w:val="15"/>
                <w:szCs w:val="15"/>
                <w:lang w:eastAsia="tr-TR"/>
              </w:rPr>
              <w:t xml:space="preserve">Getirilen zorunluluk kapsamına giren mükelleflerin elektronik fatura ve elektronik defter uygulamalarına geçiş süreci söz konusu Tebliğin </w:t>
            </w:r>
            <w:proofErr w:type="gramStart"/>
            <w:r w:rsidRPr="004221A0">
              <w:rPr>
                <w:rFonts w:ascii="Tahoma" w:eastAsia="Times New Roman" w:hAnsi="Tahoma" w:cs="Tahoma"/>
                <w:color w:val="000000"/>
                <w:sz w:val="15"/>
                <w:szCs w:val="15"/>
                <w:lang w:eastAsia="tr-TR"/>
              </w:rPr>
              <w:t>3.2</w:t>
            </w:r>
            <w:proofErr w:type="gramEnd"/>
            <w:r w:rsidRPr="004221A0">
              <w:rPr>
                <w:rFonts w:ascii="Tahoma" w:eastAsia="Times New Roman" w:hAnsi="Tahoma" w:cs="Tahoma"/>
                <w:color w:val="000000"/>
                <w:sz w:val="15"/>
                <w:szCs w:val="15"/>
                <w:lang w:eastAsia="tr-TR"/>
              </w:rPr>
              <w:t>. Bölümünde açıklanmıştır.</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color w:val="000000"/>
                <w:sz w:val="15"/>
                <w:szCs w:val="15"/>
                <w:lang w:eastAsia="tr-TR"/>
              </w:rPr>
              <w:t xml:space="preserve">Ayrıca, Tebliğin </w:t>
            </w:r>
            <w:proofErr w:type="gramStart"/>
            <w:r w:rsidRPr="004221A0">
              <w:rPr>
                <w:rFonts w:ascii="Tahoma" w:eastAsia="Times New Roman" w:hAnsi="Tahoma" w:cs="Tahoma"/>
                <w:color w:val="000000"/>
                <w:sz w:val="15"/>
                <w:szCs w:val="15"/>
                <w:lang w:eastAsia="tr-TR"/>
              </w:rPr>
              <w:t>4.1</w:t>
            </w:r>
            <w:proofErr w:type="gramEnd"/>
            <w:r w:rsidRPr="004221A0">
              <w:rPr>
                <w:rFonts w:ascii="Tahoma" w:eastAsia="Times New Roman" w:hAnsi="Tahoma" w:cs="Tahoma"/>
                <w:color w:val="000000"/>
                <w:sz w:val="15"/>
                <w:szCs w:val="15"/>
                <w:lang w:eastAsia="tr-TR"/>
              </w:rPr>
              <w:t>. Bölümünde yapılan düzenleme uyarınca zorunluluk kapsamında olsun veya olmasın, elektronik fatura uygulamasına kayıtlı mükellefler birbirlerinden aldıkları mallar ve birbirlerine ifa ettikleri hizmetler için 1/9/2013 tarihinden itibaren sadece elektronik fatura gönderip alacaklardır.</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color w:val="000000"/>
                <w:sz w:val="15"/>
                <w:szCs w:val="15"/>
                <w:lang w:eastAsia="tr-TR"/>
              </w:rPr>
              <w:t xml:space="preserve">Elektronik fatura uygulamasına kayıtlı mükellefler, uygulamaya kayıtlı olmayan mükelleflere yaptıkları mal teslimi ve hizmet ifası için genel hükümler çerçevesinde </w:t>
            </w:r>
            <w:proofErr w:type="gramStart"/>
            <w:r w:rsidRPr="004221A0">
              <w:rPr>
                <w:rFonts w:ascii="Tahoma" w:eastAsia="Times New Roman" w:hAnsi="Tahoma" w:cs="Tahoma"/>
                <w:color w:val="000000"/>
                <w:sz w:val="15"/>
                <w:szCs w:val="15"/>
                <w:lang w:eastAsia="tr-TR"/>
              </w:rPr>
              <w:t>kağıt</w:t>
            </w:r>
            <w:proofErr w:type="gramEnd"/>
            <w:r w:rsidRPr="004221A0">
              <w:rPr>
                <w:rFonts w:ascii="Tahoma" w:eastAsia="Times New Roman" w:hAnsi="Tahoma" w:cs="Tahoma"/>
                <w:color w:val="000000"/>
                <w:sz w:val="15"/>
                <w:szCs w:val="15"/>
                <w:lang w:eastAsia="tr-TR"/>
              </w:rPr>
              <w:t xml:space="preserve"> fatura düzenlemeye devam edeceklerdir.</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color w:val="000000"/>
                <w:sz w:val="15"/>
                <w:szCs w:val="15"/>
                <w:lang w:eastAsia="tr-TR"/>
              </w:rPr>
              <w:t>Duyurulur.</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color w:val="000000"/>
                <w:sz w:val="15"/>
                <w:szCs w:val="15"/>
                <w:lang w:eastAsia="tr-TR"/>
              </w:rPr>
              <w:t xml:space="preserve">                                                                                                          </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color w:val="000000"/>
                <w:sz w:val="15"/>
                <w:szCs w:val="15"/>
                <w:lang w:eastAsia="tr-TR"/>
              </w:rPr>
              <w:t> </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b/>
                <w:bCs/>
                <w:color w:val="000000"/>
                <w:sz w:val="15"/>
                <w:lang w:eastAsia="tr-TR"/>
              </w:rPr>
              <w:t>Mehmet KİLCİ</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b/>
                <w:bCs/>
                <w:color w:val="000000"/>
                <w:sz w:val="15"/>
                <w:lang w:eastAsia="tr-TR"/>
              </w:rPr>
              <w:t>Gelir İdaresi Başkanı</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color w:val="000000"/>
                <w:sz w:val="15"/>
                <w:szCs w:val="15"/>
                <w:lang w:eastAsia="tr-TR"/>
              </w:rPr>
              <w:t> </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color w:val="000000"/>
                <w:sz w:val="15"/>
                <w:szCs w:val="15"/>
                <w:lang w:eastAsia="tr-TR"/>
              </w:rPr>
              <w:t> </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r w:rsidRPr="004221A0">
              <w:rPr>
                <w:rFonts w:ascii="Tahoma" w:eastAsia="Times New Roman" w:hAnsi="Tahoma" w:cs="Tahoma"/>
                <w:b/>
                <w:bCs/>
                <w:color w:val="000000"/>
                <w:sz w:val="15"/>
                <w:lang w:eastAsia="tr-TR"/>
              </w:rPr>
              <w:t>Ekli Listeler</w:t>
            </w:r>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hyperlink r:id="rId4" w:tgtFrame="_blank" w:history="1">
              <w:r w:rsidRPr="004221A0">
                <w:rPr>
                  <w:rFonts w:ascii="Tahoma" w:eastAsia="Times New Roman" w:hAnsi="Tahoma" w:cs="Tahoma"/>
                  <w:b/>
                  <w:bCs/>
                  <w:color w:val="5C6F83"/>
                  <w:sz w:val="15"/>
                  <w:szCs w:val="15"/>
                  <w:lang w:eastAsia="tr-TR"/>
                </w:rPr>
                <w:t xml:space="preserve">5015 Sayılı Petrol Piyasası Kanunu kapsamında madeni yağ lisansına sahip mükellefler </w:t>
              </w:r>
            </w:hyperlink>
          </w:p>
          <w:p w:rsidR="004221A0" w:rsidRPr="004221A0" w:rsidRDefault="004221A0" w:rsidP="004221A0">
            <w:pPr>
              <w:spacing w:before="100" w:beforeAutospacing="1" w:after="100" w:afterAutospacing="1" w:line="213" w:lineRule="atLeast"/>
              <w:jc w:val="both"/>
              <w:rPr>
                <w:rFonts w:ascii="Tahoma" w:eastAsia="Times New Roman" w:hAnsi="Tahoma" w:cs="Tahoma"/>
                <w:color w:val="000000"/>
                <w:sz w:val="15"/>
                <w:szCs w:val="15"/>
                <w:lang w:eastAsia="tr-TR"/>
              </w:rPr>
            </w:pPr>
            <w:hyperlink r:id="rId5" w:tgtFrame="_blank" w:history="1">
              <w:r w:rsidRPr="004221A0">
                <w:rPr>
                  <w:rFonts w:ascii="Tahoma" w:eastAsia="Times New Roman" w:hAnsi="Tahoma" w:cs="Tahoma"/>
                  <w:b/>
                  <w:bCs/>
                  <w:color w:val="5C6F83"/>
                  <w:sz w:val="15"/>
                  <w:szCs w:val="15"/>
                  <w:lang w:eastAsia="tr-TR"/>
                </w:rPr>
                <w:t xml:space="preserve">4760 Sayılı Özel Tüketim Vergisi Kanununa ekli (III) sayılı listedeki malları imal, inşa veya ithal eden mükellefler </w:t>
              </w:r>
            </w:hyperlink>
          </w:p>
        </w:tc>
      </w:tr>
    </w:tbl>
    <w:p w:rsidR="00627628" w:rsidRDefault="00627628"/>
    <w:sectPr w:rsidR="00627628" w:rsidSect="006276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221A0"/>
    <w:rsid w:val="004221A0"/>
    <w:rsid w:val="00627628"/>
    <w:rsid w:val="007A1E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6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221A0"/>
    <w:rPr>
      <w:b/>
      <w:bCs/>
    </w:rPr>
  </w:style>
  <w:style w:type="paragraph" w:styleId="BalonMetni">
    <w:name w:val="Balloon Text"/>
    <w:basedOn w:val="Normal"/>
    <w:link w:val="BalonMetniChar"/>
    <w:uiPriority w:val="99"/>
    <w:semiHidden/>
    <w:unhideWhenUsed/>
    <w:rsid w:val="004221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21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6548201">
      <w:bodyDiv w:val="1"/>
      <w:marLeft w:val="0"/>
      <w:marRight w:val="0"/>
      <w:marTop w:val="0"/>
      <w:marBottom w:val="0"/>
      <w:divBdr>
        <w:top w:val="none" w:sz="0" w:space="0" w:color="auto"/>
        <w:left w:val="none" w:sz="0" w:space="0" w:color="auto"/>
        <w:bottom w:val="none" w:sz="0" w:space="0" w:color="auto"/>
        <w:right w:val="none" w:sz="0" w:space="0" w:color="auto"/>
      </w:divBdr>
      <w:divsChild>
        <w:div w:id="1375692128">
          <w:marLeft w:val="0"/>
          <w:marRight w:val="0"/>
          <w:marTop w:val="0"/>
          <w:marBottom w:val="0"/>
          <w:divBdr>
            <w:top w:val="none" w:sz="0" w:space="0" w:color="auto"/>
            <w:left w:val="none" w:sz="0" w:space="0" w:color="auto"/>
            <w:bottom w:val="none" w:sz="0" w:space="0" w:color="auto"/>
            <w:right w:val="none" w:sz="0" w:space="0" w:color="auto"/>
          </w:divBdr>
          <w:divsChild>
            <w:div w:id="1613321434">
              <w:marLeft w:val="0"/>
              <w:marRight w:val="0"/>
              <w:marTop w:val="0"/>
              <w:marBottom w:val="0"/>
              <w:divBdr>
                <w:top w:val="none" w:sz="0" w:space="0" w:color="auto"/>
                <w:left w:val="none" w:sz="0" w:space="0" w:color="auto"/>
                <w:bottom w:val="none" w:sz="0" w:space="0" w:color="auto"/>
                <w:right w:val="none" w:sz="0" w:space="0" w:color="auto"/>
              </w:divBdr>
              <w:divsChild>
                <w:div w:id="18949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ib.gov.tr/fileadmin/sirkuler/vuk/4760_OTV_III.pdf" TargetMode="External"/><Relationship Id="rId4" Type="http://schemas.openxmlformats.org/officeDocument/2006/relationships/hyperlink" Target="http://www.gib.gov.tr/fileadmin/sirkuler/vuk/5015_P.P.K_Madeni_Yag.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745</Words>
  <Characters>4248</Characters>
  <Application>Microsoft Office Word</Application>
  <DocSecurity>0</DocSecurity>
  <Lines>35</Lines>
  <Paragraphs>9</Paragraphs>
  <ScaleCrop>false</ScaleCrop>
  <Company>TURMOB</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Ün</dc:creator>
  <cp:keywords/>
  <dc:description/>
  <cp:lastModifiedBy>Ceren Ün</cp:lastModifiedBy>
  <cp:revision>3</cp:revision>
  <dcterms:created xsi:type="dcterms:W3CDTF">2013-02-13T08:50:00Z</dcterms:created>
  <dcterms:modified xsi:type="dcterms:W3CDTF">2013-02-13T08:51:00Z</dcterms:modified>
</cp:coreProperties>
</file>